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BbgNRG (Brandenburg) — Beseitigungsanspruch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Wird der vorgeschriebene Mindestabstand nicht eingehalten, so</w:t>
      </w:r>
    </w:p>
    <w:p>
      <w:r>
        <w:t xml:space="preserve">kann der Nachbar die Beseitigung der Anpflanzung verlangen. Der Eigentümer</w:t>
      </w:r>
    </w:p>
    <w:p>
      <w:r>
        <w:t xml:space="preserve">und der Nutzungsberechtigte des Grundstücks sind befugt, statt dessen die</w:t>
      </w:r>
    </w:p>
    <w:p>
      <w:r>
        <w:t xml:space="preserve">Anpflanzung auf ihrem Grundstück zurückzuschneiden, sofern auch auf</w:t>
      </w:r>
    </w:p>
    <w:p>
      <w:r>
        <w:t xml:space="preserve">diese Weise ein den Vorschriften dieses Gesetzes entsprechender Zustand</w:t>
      </w:r>
    </w:p>
    <w:p>
      <w:r>
        <w:t xml:space="preserve">hergestellt werden kann. Eine Beseitigung oder Zurückschneidung kann nur</w:t>
      </w:r>
    </w:p>
    <w:p>
      <w:r>
        <w:t xml:space="preserve">verlangt werden, soweit pflanzenschützende Vorschriften nicht berührt</w:t>
      </w:r>
    </w:p>
    <w:p>
      <w:r>
        <w:t xml:space="preserve">werden.</w:t>
      </w:r>
    </w:p>
    <w:p>
      <w:r>
        <w:rPr>
          <w:color w:val="555555"/>
          <w:sz w:val="17"/>
        </w:rPr>
        <w:t xml:space="preserve">Zitiervorschlag: § 39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https://recht.nulegal.eu/gesetze/BbgNRG/39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