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BbgNRG (Brandenburg) — Ausnahmen von den Abstandsvorschriften</w:t>
      </w:r>
    </w:p>
    <w:p>
      <w:r>
        <w:rPr>
          <w:color w:val="555555"/>
          <w:sz w:val="18"/>
        </w:rPr>
        <w:t xml:space="preserve">Brandenburgisches Nachbarrechtsgesetz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§ 37 gilt nicht für</w:t>
      </w:r>
    </w:p>
    <w:p>
      <w:r>
        <w:t xml:space="preserve">Anpflanzungen, die hinter einer geschlossenen Einfriedung vorgenommen</w:t>
      </w:r>
    </w:p>
    <w:p>
      <w:r>
        <w:t xml:space="preserve">werden und diese nicht überragen; als geschlossen gilt auch eine</w:t>
      </w:r>
    </w:p>
    <w:p>
      <w:r>
        <w:t xml:space="preserve">Einfriedung, deren Bauteile breiter sind als die Zwischenräume;</w:t>
      </w:r>
    </w:p>
    <w:p>
      <w:r>
        <w:t xml:space="preserve">Anpflanzungen auf öffentlichen Verkehrsflächen;</w:t>
      </w:r>
    </w:p>
    <w:p>
      <w:r>
        <w:t xml:space="preserve">Anpflanzungen an den Grenzen zu öffentlichen Verkehrsflächen, zu</w:t>
      </w:r>
    </w:p>
    <w:p>
      <w:r>
        <w:t xml:space="preserve">öffentlichen Grünflächen und zu oberirdischen Gewässern von</w:t>
      </w:r>
    </w:p>
    <w:p>
      <w:r>
        <w:t xml:space="preserve">jeweils mehr als 4 m Breite;</w:t>
      </w:r>
    </w:p>
    <w:p>
      <w:r>
        <w:t xml:space="preserve">Hecken, die nach § 33 auf der Grenze angepflanzt werden oder die das</w:t>
      </w:r>
    </w:p>
    <w:p>
      <w:r>
        <w:t xml:space="preserve">öffentliche Recht als Einfriedung vorschreibt.</w:t>
      </w:r>
    </w:p>
    <w:p>
      <w:r>
        <w:t xml:space="preserve">§ 37 gilt ferner nicht, wenn das öffentliche Recht</w:t>
      </w:r>
    </w:p>
    <w:p>
      <w:r>
        <w:t xml:space="preserve">andere Grenzabstände vorschreibt.</w:t>
      </w:r>
    </w:p>
    <w:p>
      <w:r>
        <w:rPr>
          <w:color w:val="555555"/>
          <w:sz w:val="17"/>
        </w:rPr>
        <w:t xml:space="preserve">Zitiervorschlag: § 38 BbgNRG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https://recht.nulegal.eu/gesetze/BbgNRG/38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