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 BbgNRG (Brandenburg) — Kosten der Errichtung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 zur Einfriedung allein verpflichtet ist, hat die</w:t>
      </w:r>
    </w:p>
    <w:p>
      <w:r>
        <w:t xml:space="preserve">Kosten der Einfriedung zu tragen.</w:t>
      </w:r>
    </w:p>
    <w:p>
      <w:r>
        <w:t xml:space="preserve">(2) Haben Nachbarn gemeinsam einzufrieden, so tragen sie die</w:t>
      </w:r>
    </w:p>
    <w:p>
      <w:r>
        <w:t xml:space="preserve">Kosten der Einfriedung je zur Hälfte. Ist bei gemeinsamer Einfriedung nur</w:t>
      </w:r>
    </w:p>
    <w:p>
      <w:r>
        <w:t xml:space="preserve">für eines der beiden Grundstücke eine Einfriedung nach § 32 Abs.</w:t>
      </w:r>
    </w:p>
    <w:p>
      <w:r>
        <w:t xml:space="preserve">2 vorgeschrieben, so sind die Kosten einer Einfriedung nach § 32 Abs. 1</w:t>
      </w:r>
    </w:p>
    <w:p>
      <w:r>
        <w:t xml:space="preserve">maßgebend; die Mehrkosten trägt der gemäß § 32 Abs.</w:t>
      </w:r>
    </w:p>
    <w:p>
      <w:r>
        <w:t xml:space="preserve">2 verpflichtete Grundstückseigentümer. Die bei einer Einfriedung nach</w:t>
      </w:r>
    </w:p>
    <w:p>
      <w:r>
        <w:t xml:space="preserve">§ 32 Abs. 3 gegenüber einer Einfriedung nach § 32 Abs. 1 oder 2</w:t>
      </w:r>
    </w:p>
    <w:p>
      <w:r>
        <w:t xml:space="preserve">entstehenden Mehrkosten der Errichtung trägt der Nachbar, von dessen</w:t>
      </w:r>
    </w:p>
    <w:p>
      <w:r>
        <w:t xml:space="preserve">Grundstück die Beeinträchtigungen ausgehen.</w:t>
      </w:r>
    </w:p>
    <w:p>
      <w:r>
        <w:rPr>
          <w:color w:val="555555"/>
          <w:sz w:val="17"/>
        </w:rPr>
        <w:t xml:space="preserve">Zitiervorschlag: § 34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 BbgNRG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