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BbgNRG (Brandenburg) — Standort</w:t>
      </w:r>
    </w:p>
    <w:p>
      <w:r>
        <w:rPr>
          <w:color w:val="555555"/>
          <w:sz w:val="18"/>
        </w:rPr>
        <w:t xml:space="preserve">Brandenburgisches Nachbarrechtsgesetz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Wer zur Einfriedung allein verpflichtet ist, hat die</w:t>
      </w:r>
    </w:p>
    <w:p>
      <w:r>
        <w:t xml:space="preserve">Einfriedung auf seinem Grundstück zu errichten. Haben Nachbarn gemeinsam</w:t>
      </w:r>
    </w:p>
    <w:p>
      <w:r>
        <w:t xml:space="preserve">einzufrieden, so ist die Einfriedung auf der gemeinsamen Grenze zu errichten.</w:t>
      </w:r>
    </w:p>
    <w:p>
      <w:r>
        <w:rPr>
          <w:color w:val="555555"/>
          <w:sz w:val="17"/>
        </w:rPr>
        <w:t xml:space="preserve">Zitiervorschlag: § 33 BbgNRG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https://recht.nulegal.eu/gesetze/BbgNRG/33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