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BbgNRG (Brandenburg) — Einfriedungspflicht des Störers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keine Einfriedungspflicht nach § 30, so hat der</w:t>
      </w:r>
    </w:p>
    <w:p>
      <w:r>
        <w:t xml:space="preserve">Eigentümer eines bebauten oder gewerblich genutzten Grundstücks</w:t>
      </w:r>
    </w:p>
    <w:p>
      <w:r>
        <w:t xml:space="preserve">gleichwohl das Grundstück auf Verlangen des Eigentümers des</w:t>
      </w:r>
    </w:p>
    <w:p>
      <w:r>
        <w:t xml:space="preserve">Nachbargrundstücks einzufrieden, wenn</w:t>
      </w:r>
    </w:p>
    <w:p>
      <w:r>
        <w:t xml:space="preserve">von seinem Grundstück unzumutbare Beeinträchtigungen des</w:t>
      </w:r>
    </w:p>
    <w:p>
      <w:r>
        <w:t xml:space="preserve">Nachbargrundstücks ausgehen, die durch eine Einfriedung verhindert oder</w:t>
      </w:r>
    </w:p>
    <w:p>
      <w:r>
        <w:t xml:space="preserve">gemildert werden können, und</w:t>
      </w:r>
    </w:p>
    <w:p>
      <w:r>
        <w:t xml:space="preserve">die Einfriedung zulässig ist.</w:t>
      </w:r>
    </w:p>
    <w:p>
      <w:r>
        <w:rPr>
          <w:color w:val="555555"/>
          <w:sz w:val="17"/>
        </w:rPr>
        <w:t xml:space="preserve">Zitiervorschlag: § 31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