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 BbgNRG (Brandenburg) — Ausnahmen von der Einfriedungspflicht</w:t>
      </w:r>
    </w:p>
    <w:p>
      <w:r>
        <w:rPr>
          <w:color w:val="555555"/>
          <w:sz w:val="18"/>
        </w:rPr>
        <w:t xml:space="preserve">Brandenburgisches Nachbarrechtsgesetz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Eine Einfriedungspflicht besteht nicht, wenn und soweit</w:t>
      </w:r>
    </w:p>
    <w:p>
      <w:r>
        <w:t xml:space="preserve">die Grenze mit Gebäuden besetzt ist oder Einfriedungen nicht</w:t>
      </w:r>
    </w:p>
    <w:p>
      <w:r>
        <w:t xml:space="preserve">ortsüblich sind.</w:t>
      </w:r>
    </w:p>
    <w:p>
      <w:r>
        <w:t xml:space="preserve">(2) Eine Einfriedungspflicht besteht ferner nicht für</w:t>
      </w:r>
    </w:p>
    <w:p>
      <w:r>
        <w:t xml:space="preserve">Grenzen zwischen Grundstücken und den an sie angrenzenden Flächen</w:t>
      </w:r>
    </w:p>
    <w:p>
      <w:r>
        <w:t xml:space="preserve">für die Land- und Forstwirtschaft, öffentlichen Verkehrsflächen,</w:t>
      </w:r>
    </w:p>
    <w:p>
      <w:r>
        <w:t xml:space="preserve">öffentlichen Grünflächen und Gewässern.</w:t>
      </w:r>
    </w:p>
    <w:p>
      <w:r>
        <w:rPr>
          <w:color w:val="555555"/>
          <w:sz w:val="17"/>
        </w:rPr>
        <w:t xml:space="preserve">Zitiervorschlag: § 30 BbgNRG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https://recht.nulegal.eu/gesetze/BbgNRG/30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