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BbgNRG (Brandenburg) — Anwendungsbereich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§§ 5 bis 31 und 33 bis 59 gelten nur, soweit</w:t>
      </w:r>
    </w:p>
    <w:p>
      <w:r>
        <w:t xml:space="preserve">die Nachbarn keine von diesen Bestimmungen abweichenden Vereinbarungen treffen</w:t>
      </w:r>
    </w:p>
    <w:p>
      <w:r>
        <w:t xml:space="preserve">oder zwingende öffentlich-rechtliche Vorschriften oder</w:t>
      </w:r>
    </w:p>
    <w:p>
      <w:r>
        <w:t xml:space="preserve">bestandskräftige Verwaltungsakte nicht entgegenstehen.</w:t>
      </w:r>
    </w:p>
    <w:p>
      <w:r>
        <w:t xml:space="preserve">(2) Die in diesem Gesetz vorgesehene Schriftform ist nicht</w:t>
      </w:r>
    </w:p>
    <w:p>
      <w:r>
        <w:t xml:space="preserve">abdingbar.</w:t>
      </w:r>
    </w:p>
    <w:p>
      <w:r>
        <w:rPr>
          <w:color w:val="555555"/>
          <w:sz w:val="17"/>
        </w:rPr>
        <w:t xml:space="preserve">Zitiervorschlag: § 3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