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BbgNRG (Brandenburg) — Anzeigepflicht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Absicht, eine Einfriedung zu errichten, zu beseitigen,</w:t>
      </w:r>
    </w:p>
    <w:p>
      <w:r>
        <w:t xml:space="preserve">durch eine andere zu ersetzen oder wesentlich zu verändern, ist dem</w:t>
      </w:r>
    </w:p>
    <w:p>
      <w:r>
        <w:t xml:space="preserve">Nachbarn mindestens zwei Wochen vor Beginn der Arbeiten anzuzeigen; § 8</w:t>
      </w:r>
    </w:p>
    <w:p>
      <w:r>
        <w:t xml:space="preserve">Abs. 2 gilt entsprechend.</w:t>
      </w:r>
    </w:p>
    <w:p>
      <w:r>
        <w:t xml:space="preserve">(2) Die Anzeigepflicht besteht auch dann, wenn der Nachbar</w:t>
      </w:r>
    </w:p>
    <w:p>
      <w:r>
        <w:t xml:space="preserve">weder die Einfriedung verlangen kann noch zu den Kosten beizutragen hat.</w:t>
      </w:r>
    </w:p>
    <w:p>
      <w:r>
        <w:rPr>
          <w:color w:val="555555"/>
          <w:sz w:val="17"/>
        </w:rPr>
        <w:t xml:space="preserve">Zitiervorschlag: § 29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