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28 BbgNRG (Brandenburg) — Einfriedungspflicht</w:t>
      </w:r>
    </w:p>
    <w:p>
      <w:r>
        <w:rPr>
          <w:color w:val="555555"/>
          <w:sz w:val="18"/>
        </w:rPr>
        <w:t xml:space="preserve">Brandenburgisches Nachbarrechtsgesetz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Jeder Grundstückseigentümer kann von dem Nachbarn</w:t>
      </w:r>
    </w:p>
    <w:p>
      <w:r>
        <w:t xml:space="preserve">die Einfriedung nach folgenden Regeln verlangen:</w:t>
      </w:r>
    </w:p>
    <w:p>
      <w:r>
        <w:t xml:space="preserve">Wenn Grundstücke unmittelbar nebeneinander an derselben Straße</w:t>
      </w:r>
    </w:p>
    <w:p>
      <w:r>
        <w:t xml:space="preserve">liegen, so hat jeder Grundstückseigentümer an der Grenze zum rechten</w:t>
      </w:r>
    </w:p>
    <w:p>
      <w:r>
        <w:t xml:space="preserve">Nachbargrundstück einzufrieden.</w:t>
      </w:r>
    </w:p>
    <w:p>
      <w:r>
        <w:t xml:space="preserve">Rechtes Nachbargrundstück ist das, das von der Straße aus</w:t>
      </w:r>
    </w:p>
    <w:p>
      <w:r>
        <w:t xml:space="preserve">betrachtet rechts liegt.</w:t>
      </w:r>
    </w:p>
    <w:p>
      <w:r>
        <w:t xml:space="preserve">Liegt ein Grundstück zwischen zwei Straßen, so ist das</w:t>
      </w:r>
    </w:p>
    <w:p>
      <w:r>
        <w:t xml:space="preserve">Grundstück rechtes Nachbargrundstück, welches von der Straße</w:t>
      </w:r>
    </w:p>
    <w:p>
      <w:r>
        <w:t xml:space="preserve">aus betrachtet rechts liegt, an der sich der Haupteingang des Grundstücks</w:t>
      </w:r>
    </w:p>
    <w:p>
      <w:r>
        <w:t xml:space="preserve">befindet. Ist ein Haupteingang nicht feststellbar, so hat der</w:t>
      </w:r>
    </w:p>
    <w:p>
      <w:r>
        <w:t xml:space="preserve">Grundstückseigentümer auf Verlangen des Nachbarn zu bestimmen, welche</w:t>
      </w:r>
    </w:p>
    <w:p>
      <w:r>
        <w:t xml:space="preserve">Straße als die Straße gelten soll, an der sich der Haupteingang</w:t>
      </w:r>
    </w:p>
    <w:p>
      <w:r>
        <w:t xml:space="preserve">befindet; § 264 Abs. 2 des Bürgerlichen Gesetzbuchs gilt</w:t>
      </w:r>
    </w:p>
    <w:p>
      <w:r>
        <w:t xml:space="preserve">entsprechend. Durch Verlegung des Haupteingangs wird die Einfriedungspflicht</w:t>
      </w:r>
    </w:p>
    <w:p>
      <w:r>
        <w:t xml:space="preserve">ohne Zustimmung des Eigentümers des angrenzenden Grundstücks nicht</w:t>
      </w:r>
    </w:p>
    <w:p>
      <w:r>
        <w:t xml:space="preserve">verändert.</w:t>
      </w:r>
    </w:p>
    <w:p>
      <w:r>
        <w:t xml:space="preserve">Für Eckgrundstücke gilt Buchstabe a ohne Rücksicht auf die</w:t>
      </w:r>
    </w:p>
    <w:p>
      <w:r>
        <w:t xml:space="preserve">Lage des Haupteingangs.</w:t>
      </w:r>
    </w:p>
    <w:p>
      <w:r>
        <w:t xml:space="preserve">Als Straßen gelten auch Wege, wenn solche an Stelle von</w:t>
      </w:r>
    </w:p>
    <w:p>
      <w:r>
        <w:t xml:space="preserve">Straßen für die Lage von Grundstücken maßgeblich sind.</w:t>
      </w:r>
    </w:p>
    <w:p>
      <w:r>
        <w:t xml:space="preserve">Wenn an einer Grenze beide Nachbarn einzufrieden haben, so haben sie</w:t>
      </w:r>
    </w:p>
    <w:p>
      <w:r>
        <w:t xml:space="preserve">gemeinsam einzufrieden.</w:t>
      </w:r>
    </w:p>
    <w:p>
      <w:r>
        <w:t xml:space="preserve">An Grenzen, für die durch Nummer 1 keine Einfriedungspflicht</w:t>
      </w:r>
    </w:p>
    <w:p>
      <w:r>
        <w:t xml:space="preserve">begründet wird, insbesondere an beiderseits rückwärtigen</w:t>
      </w:r>
    </w:p>
    <w:p>
      <w:r>
        <w:t xml:space="preserve">Grenzen, ist gemeinsam einzufrieden.</w:t>
      </w:r>
    </w:p>
    <w:p>
      <w:r>
        <w:rPr>
          <w:color w:val="555555"/>
          <w:sz w:val="17"/>
        </w:rPr>
        <w:t xml:space="preserve">Zitiervorschlag: § 28 BbgNRG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https://recht.nulegal.eu/gesetze/BbgNRG/28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