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BbgNRG (Brandenburg) — Aufschichtungen und sonstige Anlagen</w:t>
      </w:r>
    </w:p>
    <w:p>
      <w:r>
        <w:rPr>
          <w:color w:val="555555"/>
          <w:sz w:val="18"/>
        </w:rPr>
        <w:t xml:space="preserve">Brandenburgisches Nachbarrechtsgesetz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Mit Aufschichtungen von Holz, Steinen, Stroh und</w:t>
      </w:r>
    </w:p>
    <w:p>
      <w:r>
        <w:t xml:space="preserve">dergleichen sowie sonstigen mit dem Grundstück nicht fest verbundenen</w:t>
      </w:r>
    </w:p>
    <w:p>
      <w:r>
        <w:t xml:space="preserve">Anlagen, die nicht über 1,50 m hoch sind, braucht kein Mindestabstand von</w:t>
      </w:r>
    </w:p>
    <w:p>
      <w:r>
        <w:t xml:space="preserve">der Grenze eingehalten zu werden. Sind sie höher, so muß der Abstand</w:t>
      </w:r>
    </w:p>
    <w:p>
      <w:r>
        <w:t xml:space="preserve">um so viel über 0,50 m betragen, als ihre Höhe das Maß von 1,50</w:t>
      </w:r>
    </w:p>
    <w:p>
      <w:r>
        <w:t xml:space="preserve">m übersteigt.</w:t>
      </w:r>
    </w:p>
    <w:p>
      <w:r>
        <w:t xml:space="preserve">(2) Absatz 1 gilt nicht</w:t>
      </w:r>
    </w:p>
    <w:p>
      <w:r>
        <w:t xml:space="preserve">für Baugerüste,</w:t>
      </w:r>
    </w:p>
    <w:p>
      <w:r>
        <w:t xml:space="preserve">für Aufschichtungen und Anlagen, die eine Wand oder geschlossene</w:t>
      </w:r>
    </w:p>
    <w:p>
      <w:r>
        <w:t xml:space="preserve">Einfriedung nicht überragen, und</w:t>
      </w:r>
    </w:p>
    <w:p>
      <w:r>
        <w:t xml:space="preserve">gegenüber Grenzen zu öffentlichen Verkehrsflächen, zu</w:t>
      </w:r>
    </w:p>
    <w:p>
      <w:r>
        <w:t xml:space="preserve">öffentlichen Grünflächen und zu oberirdischen Gewässern von</w:t>
      </w:r>
    </w:p>
    <w:p>
      <w:r>
        <w:t xml:space="preserve">mehr als 0,50 m Breite (Mittelwasserstand).</w:t>
      </w:r>
    </w:p>
    <w:p>
      <w:r>
        <w:rPr>
          <w:color w:val="555555"/>
          <w:sz w:val="17"/>
        </w:rPr>
        <w:t xml:space="preserve">Zitiervorschlag: § 27 BbgNRG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https://recht.nulegal.eu/gesetze/BbgNRG/27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