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BbgNRG (Brandenburg) — Nutzungsentschädigung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 ein Grundstück gemäß § 23</w:t>
      </w:r>
    </w:p>
    <w:p>
      <w:r>
        <w:t xml:space="preserve">benutzt, hat für die Zeit der Benutzung eine Nutzungsentschädigung in</w:t>
      </w:r>
    </w:p>
    <w:p>
      <w:r>
        <w:t xml:space="preserve">Höhe der ortsüblichen Miete für die benutzten Bauwerksteile oder</w:t>
      </w:r>
    </w:p>
    <w:p>
      <w:r>
        <w:t xml:space="preserve">für einen dem benutzten unbebauten Grundstücksteil vergleichbaren</w:t>
      </w:r>
    </w:p>
    <w:p>
      <w:r>
        <w:t xml:space="preserve">Lagerplatz zu zahlen. Eine Benutzung unbebauter Grundstücksteile bis zur</w:t>
      </w:r>
    </w:p>
    <w:p>
      <w:r>
        <w:t xml:space="preserve">Dauer von zwei Wochen bleibt außer Betracht. Die</w:t>
      </w:r>
    </w:p>
    <w:p>
      <w:r>
        <w:t xml:space="preserve">Nutzungsentschädigung ist jeweils zum Ende eines Kalendermonats</w:t>
      </w:r>
    </w:p>
    <w:p>
      <w:r>
        <w:t xml:space="preserve">fällig.</w:t>
      </w:r>
    </w:p>
    <w:p>
      <w:r>
        <w:t xml:space="preserve">(2) Nutzungsentschädigung kann nicht verlangt werden,</w:t>
      </w:r>
    </w:p>
    <w:p>
      <w:r>
        <w:t xml:space="preserve">soweit nach § 23 Abs. 4 Ersatz für entgangene anderweitige Nutzung</w:t>
      </w:r>
    </w:p>
    <w:p>
      <w:r>
        <w:t xml:space="preserve">gefordert wird.</w:t>
      </w:r>
    </w:p>
    <w:p>
      <w:r>
        <w:rPr>
          <w:color w:val="555555"/>
          <w:sz w:val="17"/>
        </w:rPr>
        <w:t xml:space="preserve">Zitiervorschlag: § 24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