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BbgNRG (Brandenburg) — Inhalt und Umfang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Eigentümer und der Nutzungsberechtigte eines</w:t>
      </w:r>
    </w:p>
    <w:p>
      <w:r>
        <w:t xml:space="preserve">Grundstücks müssen dulden, daß ihr Grundstück</w:t>
      </w:r>
    </w:p>
    <w:p>
      <w:r>
        <w:t xml:space="preserve">einschließlich der Bauwerke von dem Nachbarn oder von ihm Beauftragten</w:t>
      </w:r>
    </w:p>
    <w:p>
      <w:r>
        <w:t xml:space="preserve">zur Vorbereitung und Durchführung von Bau-, Instandsetzungs- und</w:t>
      </w:r>
    </w:p>
    <w:p>
      <w:r>
        <w:t xml:space="preserve">Unterhaltungsarbeiten auf dem Nachbargrundstück vorübergehend</w:t>
      </w:r>
    </w:p>
    <w:p>
      <w:r>
        <w:t xml:space="preserve">betreten und benutzt wird, wenn und soweit</w:t>
      </w:r>
    </w:p>
    <w:p>
      <w:r>
        <w:t xml:space="preserve">die Arbeiten anders nicht oder nur mit unverhältnismäßig</w:t>
      </w:r>
    </w:p>
    <w:p>
      <w:r>
        <w:t xml:space="preserve">hohen Kosten durchgeführt werden können,</w:t>
      </w:r>
    </w:p>
    <w:p>
      <w:r>
        <w:t xml:space="preserve">die mit der Duldung verbundenen Nachteile oder Belästigungen nicht</w:t>
      </w:r>
    </w:p>
    <w:p>
      <w:r>
        <w:t xml:space="preserve">außer Verhältnis zu dem von dem Berechtigten erstrebten Vorteil</w:t>
      </w:r>
    </w:p>
    <w:p>
      <w:r>
        <w:t xml:space="preserve">stehen und</w:t>
      </w:r>
    </w:p>
    <w:p>
      <w:r>
        <w:t xml:space="preserve">das Vorhaben öffentlich-rechtlich zulässig oder zugelassen</w:t>
      </w:r>
    </w:p>
    <w:p>
      <w:r>
        <w:t xml:space="preserve">worden ist.</w:t>
      </w:r>
    </w:p>
    <w:p>
      <w:r>
        <w:t xml:space="preserve">(2) Das Recht zur Benutzung umfaßt die Befugnis, auf</w:t>
      </w:r>
    </w:p>
    <w:p>
      <w:r>
        <w:t xml:space="preserve">oder über dem Grundstück Gerüste und Geräte aufzustellen</w:t>
      </w:r>
    </w:p>
    <w:p>
      <w:r>
        <w:t xml:space="preserve">sowie die zu den Arbeiten erforderlichen Baustoffe über das</w:t>
      </w:r>
    </w:p>
    <w:p>
      <w:r>
        <w:t xml:space="preserve">Grundstück zu bringen.</w:t>
      </w:r>
    </w:p>
    <w:p>
      <w:r>
        <w:t xml:space="preserve">(3) Das Recht ist so zügig und schonend wie möglich</w:t>
      </w:r>
    </w:p>
    <w:p>
      <w:r>
        <w:t xml:space="preserve">auszuüben. Es darf nicht zur Unzeit geltend gemacht werden.</w:t>
      </w:r>
    </w:p>
    <w:p>
      <w:r>
        <w:t xml:space="preserve">(4) Die Absicht, die Rechte nach den Absätzen 1 und 2</w:t>
      </w:r>
    </w:p>
    <w:p>
      <w:r>
        <w:t xml:space="preserve">auszuüben, ist anzuzeigen; § 8 gilt entsprechend. Für die</w:t>
      </w:r>
    </w:p>
    <w:p>
      <w:r>
        <w:t xml:space="preserve">Verpflichtung zum Schadensersatz gilt § 15 entsprechend.</w:t>
      </w:r>
    </w:p>
    <w:p>
      <w:r>
        <w:t xml:space="preserve">(5) Die Absätze 1 bis 4 finden auf die Eigentümer</w:t>
      </w:r>
    </w:p>
    <w:p>
      <w:r>
        <w:t xml:space="preserve">öffentlicher Verkehrsflächen keine Anwendung.</w:t>
      </w:r>
    </w:p>
    <w:p>
      <w:r>
        <w:rPr>
          <w:color w:val="555555"/>
          <w:sz w:val="17"/>
        </w:rPr>
        <w:t xml:space="preserve">Zitiervorschlag: § 23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BbgNRG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