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22 BbgNRG (Brandenburg) — Ausschluß des Beseitigungsanspruchs</w:t>
      </w:r>
    </w:p>
    <w:p>
      <w:r>
        <w:rPr>
          <w:color w:val="555555"/>
          <w:sz w:val="18"/>
        </w:rPr>
        <w:t xml:space="preserve">Brandenburgisches Nachbarrechtsgesetz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Anspruch auf Beseitigung einer</w:t>
      </w:r>
    </w:p>
    <w:p>
      <w:r>
        <w:t xml:space="preserve">zustimmungsbedürftigen Einrichtung, die einen geringeren als den in §</w:t>
      </w:r>
    </w:p>
    <w:p>
      <w:r>
        <w:t xml:space="preserve">20 vorgeschriebenen Abstand hat, ist ausgeschlossen, wenn nicht bis zum Ablauf</w:t>
      </w:r>
    </w:p>
    <w:p>
      <w:r>
        <w:t xml:space="preserve">des auf die Anbringung der Einrichtung folgenden Kalenderjahres Klage auf</w:t>
      </w:r>
    </w:p>
    <w:p>
      <w:r>
        <w:t xml:space="preserve">Beseitigung erhoben worden ist.</w:t>
      </w:r>
    </w:p>
    <w:p>
      <w:r>
        <w:t xml:space="preserve">(2) Der Anspruch auf Beseitigung einer Einrichtung, die bei</w:t>
      </w:r>
    </w:p>
    <w:p>
      <w:r>
        <w:t xml:space="preserve">Inkrafttreten dieses Gesetzes vorhanden ist, ist ausgeschlossen, wenn</w:t>
      </w:r>
    </w:p>
    <w:p>
      <w:r>
        <w:t xml:space="preserve">ihr Abstand dem bisherigen Recht entspricht oder</w:t>
      </w:r>
    </w:p>
    <w:p>
      <w:r>
        <w:t xml:space="preserve">ihr Abstand nicht dem bisherigen Recht entspricht und nicht bis zum Ablauf</w:t>
      </w:r>
    </w:p>
    <w:p>
      <w:r>
        <w:t xml:space="preserve">des auf das Inkrafttreten dieses Gesetzes folgenden Kalenderjahres Klage auf</w:t>
      </w:r>
    </w:p>
    <w:p>
      <w:r>
        <w:t xml:space="preserve">Beseitigung erhoben worden ist.</w:t>
      </w:r>
    </w:p>
    <w:p>
      <w:r>
        <w:t xml:space="preserve">(3) Wird das Gebäude, an dem sich die Einrichtung befand,</w:t>
      </w:r>
    </w:p>
    <w:p>
      <w:r>
        <w:t xml:space="preserve">oder das Bauwerk beseitigt, so gelten für einen Neubau die §§ 20</w:t>
      </w:r>
    </w:p>
    <w:p>
      <w:r>
        <w:t xml:space="preserve">und 21.</w:t>
      </w:r>
    </w:p>
    <w:p>
      <w:r>
        <w:rPr>
          <w:color w:val="555555"/>
          <w:sz w:val="17"/>
        </w:rPr>
        <w:t xml:space="preserve">Zitiervorschlag: § 22 BbgNRG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https://recht.nulegal.eu/gesetze/BbgNRG/22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