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BbgNRG (Brandenburg) — Ausnahmen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Eine Zustimmung nach § 20 ist nicht erforderlich</w:t>
      </w:r>
    </w:p>
    <w:p>
      <w:r>
        <w:t xml:space="preserve">für lichtdurchlässige Wandbauteile, wenn sie undurchsichtig,</w:t>
      </w:r>
    </w:p>
    <w:p>
      <w:r>
        <w:t xml:space="preserve">schalldämmend und gegen Feuereinwirkung widerstandsfähig sind,</w:t>
      </w:r>
    </w:p>
    <w:p>
      <w:r>
        <w:t xml:space="preserve">für Außenwände gegenüber Grenzen zu öffentlichen</w:t>
      </w:r>
    </w:p>
    <w:p>
      <w:r>
        <w:t xml:space="preserve">Verkehrsflächen, zu öffentlichen Grünflächen und zu</w:t>
      </w:r>
    </w:p>
    <w:p>
      <w:r>
        <w:t xml:space="preserve">oberirdischen Gewässern von jeweils mehr als 2 m Breite,</w:t>
      </w:r>
    </w:p>
    <w:p>
      <w:r>
        <w:t xml:space="preserve">soweit nach öffentlich-rechtlichen Vorschriften Fenster und</w:t>
      </w:r>
    </w:p>
    <w:p>
      <w:r>
        <w:t xml:space="preserve">Türen angebracht werden müssen und</w:t>
      </w:r>
    </w:p>
    <w:p>
      <w:r>
        <w:t xml:space="preserve">wenn keine oder nur geringfügige Beeinträchtigungen zu erwarten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21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