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BbgNRG (Brandenburg) — Nachbar, Erbbauberechtigter</w:t>
      </w:r>
    </w:p>
    <w:p>
      <w:r>
        <w:rPr>
          <w:color w:val="555555"/>
          <w:sz w:val="18"/>
        </w:rPr>
        <w:t xml:space="preserve">Brandenburgisches Nachbarrechtsgesetz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Nachbar im Sinne dieses Gesetzes ist der Eigentümer</w:t>
      </w:r>
    </w:p>
    <w:p>
      <w:r>
        <w:t xml:space="preserve">des an ein Grundstück angrenzenden Grundstücks.</w:t>
      </w:r>
    </w:p>
    <w:p>
      <w:r>
        <w:t xml:space="preserve">(2) Im Falle der Belastung des Grundstücks mit einem</w:t>
      </w:r>
    </w:p>
    <w:p>
      <w:r>
        <w:t xml:space="preserve">Erbbaurecht tritt der Erbbauberechtigte an die Stelle des</w:t>
      </w:r>
    </w:p>
    <w:p>
      <w:r>
        <w:t xml:space="preserve">Grundstückseigentümers.</w:t>
      </w:r>
    </w:p>
    <w:p>
      <w:r>
        <w:rPr>
          <w:color w:val="555555"/>
          <w:sz w:val="17"/>
        </w:rPr>
        <w:t xml:space="preserve">Zitiervorschlag: § 2 BbgNRG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https://recht.nulegal.eu/gesetze/BbgNRG/2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