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BbgNRG (Brandenburg) — Einseitige Grenzwand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Eigentümer eines Grundstücks hat Bauteile, die</w:t>
      </w:r>
    </w:p>
    <w:p>
      <w:r>
        <w:t xml:space="preserve">in den Luftraum seines Grundstücks übergreifen, zu dulden, wenn</w:t>
      </w:r>
    </w:p>
    <w:p>
      <w:r>
        <w:t xml:space="preserve">nach den öffentlich-rechtlichen Vorschriften auf dem</w:t>
      </w:r>
    </w:p>
    <w:p>
      <w:r>
        <w:t xml:space="preserve">Nachbargrundstück nur bis an die Grenze gebaut werden darf,</w:t>
      </w:r>
    </w:p>
    <w:p>
      <w:r>
        <w:t xml:space="preserve">die übergreifenden Bauteile öffentlich-rechtlich zulässig</w:t>
      </w:r>
    </w:p>
    <w:p>
      <w:r>
        <w:t xml:space="preserve">oder zugelassen worden sind,</w:t>
      </w:r>
    </w:p>
    <w:p>
      <w:r>
        <w:t xml:space="preserve">sie die Benutzung seines Grundstücks nicht oder nur unwesentlich</w:t>
      </w:r>
    </w:p>
    <w:p>
      <w:r>
        <w:t xml:space="preserve">beeinträchtigen und</w:t>
      </w:r>
    </w:p>
    <w:p>
      <w:r>
        <w:t xml:space="preserve">sie nicht zur Vergrößerung der Nutzfläche dienen.</w:t>
      </w:r>
    </w:p>
    <w:p>
      <w:r>
        <w:rPr>
          <w:color w:val="555555"/>
          <w:sz w:val="17"/>
        </w:rPr>
        <w:t xml:space="preserve">Zitiervorschlag: § 19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BbgNRG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