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BbgNRG (Brandenburg) — Errichten einer zweiten Grenzwand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Wer eine Grenzwand neben einer schon vorhandenen Grenzwand</w:t>
      </w:r>
    </w:p>
    <w:p>
      <w:r>
        <w:t xml:space="preserve">errichtet, ist verpflichtet, die Fuge zwischen den Grenzwänden auf seine</w:t>
      </w:r>
    </w:p>
    <w:p>
      <w:r>
        <w:t xml:space="preserve">Kosten auszufüllen und zu verschließen, falls dies den allgemeinen</w:t>
      </w:r>
    </w:p>
    <w:p>
      <w:r>
        <w:t xml:space="preserve">Regeln der Baukunst entspricht und der Baugestaltung nicht widerspricht.</w:t>
      </w:r>
    </w:p>
    <w:p>
      <w:r>
        <w:t xml:space="preserve">(2) Der Erbauer der zweiten Grenzwand ist berechtigt, auf</w:t>
      </w:r>
    </w:p>
    <w:p>
      <w:r>
        <w:t xml:space="preserve">eigene Kosten durch übergreifende Abdeckungen einen Anschluß</w:t>
      </w:r>
    </w:p>
    <w:p>
      <w:r>
        <w:t xml:space="preserve">herzustellen; er hat den Anschluß auf seine Kosten zu unterhalten.</w:t>
      </w:r>
    </w:p>
    <w:p>
      <w:r>
        <w:t xml:space="preserve">(3) Ist es zur Ausführung des Bauvorhabens erforderlich,</w:t>
      </w:r>
    </w:p>
    <w:p>
      <w:r>
        <w:t xml:space="preserve">die zweite Grenzwand tiefer als die zuerst errichtete Grenzwand zu</w:t>
      </w:r>
    </w:p>
    <w:p>
      <w:r>
        <w:t xml:space="preserve">gründen, so gilt § 7 Abs. 2 entsprechend.</w:t>
      </w:r>
    </w:p>
    <w:p>
      <w:r>
        <w:t xml:space="preserve">(4) Die Absicht, die Rechte nach den Absätzen 2 und 3</w:t>
      </w:r>
    </w:p>
    <w:p>
      <w:r>
        <w:t xml:space="preserve">auszuüben, ist anzuzeigen; § 8 gilt entsprechend. Für die</w:t>
      </w:r>
    </w:p>
    <w:p>
      <w:r>
        <w:t xml:space="preserve">Verpflichtung zum Schadensersatz gilt § 15 entsprechend.</w:t>
      </w:r>
    </w:p>
    <w:p>
      <w:r>
        <w:rPr>
          <w:color w:val="555555"/>
          <w:sz w:val="17"/>
        </w:rPr>
        <w:t xml:space="preserve">Zitiervorschlag: § 18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