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BbgNRG (Brandenburg) — Errichten einer Grenzwand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Grundstückseigentümer, auf dessen</w:t>
      </w:r>
    </w:p>
    <w:p>
      <w:r>
        <w:t xml:space="preserve">Grundstück eine Grenzwand errichtet werden soll, hat dem Nachbarn die</w:t>
      </w:r>
    </w:p>
    <w:p>
      <w:r>
        <w:t xml:space="preserve">Bauart und Bemessung der beabsichtigten Wand zwei Monate vor Baubeginn</w:t>
      </w:r>
    </w:p>
    <w:p>
      <w:r>
        <w:t xml:space="preserve">schriftlich anzuzeigen; § 8 Abs. 2 gilt entsprechend.</w:t>
      </w:r>
    </w:p>
    <w:p>
      <w:r>
        <w:t xml:space="preserve">(2) Der Nachbar kann innerhalb von zwei Monaten nach Zugang</w:t>
      </w:r>
    </w:p>
    <w:p>
      <w:r>
        <w:t xml:space="preserve">der Anzeige verlangen, die Grenzwand so zu gründen, daß bei der</w:t>
      </w:r>
    </w:p>
    <w:p>
      <w:r>
        <w:t xml:space="preserve">späteren Durchführung seines Bauvorhabens zusätzliche</w:t>
      </w:r>
    </w:p>
    <w:p>
      <w:r>
        <w:t xml:space="preserve">Baumaßnahmen vermieden werden. Verzichtet er auf dieses Recht, kann mit</w:t>
      </w:r>
    </w:p>
    <w:p>
      <w:r>
        <w:t xml:space="preserve">den Arbeiten bereits vor Fristablauf begonnen werden. Wird die Anzeige</w:t>
      </w:r>
    </w:p>
    <w:p>
      <w:r>
        <w:t xml:space="preserve">schuldhaft verspätet abgegeben oder unterlassen, so hat der</w:t>
      </w:r>
    </w:p>
    <w:p>
      <w:r>
        <w:t xml:space="preserve">Eigentümer des zur Bebauung vorgesehenen Grundstücks dem Nachbarn den</w:t>
      </w:r>
    </w:p>
    <w:p>
      <w:r>
        <w:t xml:space="preserve">daraus entstehenden Schaden zu ersetzen.</w:t>
      </w:r>
    </w:p>
    <w:p>
      <w:r>
        <w:t xml:space="preserve">(3) Die durch das Verlangen nach Absatz 2 Satz 1 entstehenden</w:t>
      </w:r>
    </w:p>
    <w:p>
      <w:r>
        <w:t xml:space="preserve">Mehrkosten sind zu erstatten. In Höhe der voraussichtlich erwachsenden</w:t>
      </w:r>
    </w:p>
    <w:p>
      <w:r>
        <w:t xml:space="preserve">Mehrkosten ist auf Verlangen des Erbauers der Grenzwand innerhalb eines Monats</w:t>
      </w:r>
    </w:p>
    <w:p>
      <w:r>
        <w:t xml:space="preserve">Vorschuß zu leisten. Der Anspruch auf die besondere Gründung</w:t>
      </w:r>
    </w:p>
    <w:p>
      <w:r>
        <w:t xml:space="preserve">erlischt, wenn der Vorschuß nicht fristgerecht geleistet wird.</w:t>
      </w:r>
    </w:p>
    <w:p>
      <w:r>
        <w:t xml:space="preserve">(4) Soweit der Erbauer der Grenzwand die besondere</w:t>
      </w:r>
    </w:p>
    <w:p>
      <w:r>
        <w:t xml:space="preserve">Gründung auch zum Vorteil seines Bauwerks nutzt, beschränkt sich die</w:t>
      </w:r>
    </w:p>
    <w:p>
      <w:r>
        <w:t xml:space="preserve">Erstattungspflicht des Nachbarn auf den angemessenen Kostenanteil; darüber</w:t>
      </w:r>
    </w:p>
    <w:p>
      <w:r>
        <w:t xml:space="preserve">hinaus gezahlte Kosten können zurückgefordert werden.</w:t>
      </w:r>
    </w:p>
    <w:p>
      <w:r>
        <w:rPr>
          <w:color w:val="555555"/>
          <w:sz w:val="17"/>
        </w:rPr>
        <w:t xml:space="preserve">Zitiervorschlag: § 17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