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BbgNRG (Brandenburg) — Schadensersatz bei Erhöhung und Verstärkung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Schaden, der in Ausübung der Rechte nach § 7 Abs. 2</w:t>
      </w:r>
    </w:p>
    <w:p>
      <w:r>
        <w:t xml:space="preserve">oder § 14 dem Eigentümer oder dem Nutzungsberechtigten des anderen</w:t>
      </w:r>
    </w:p>
    <w:p>
      <w:r>
        <w:t xml:space="preserve">Grundstücks entsteht, ist auch ohne Verschulden zu ersetzen. Auf Verlangen</w:t>
      </w:r>
    </w:p>
    <w:p>
      <w:r>
        <w:t xml:space="preserve">ist Sicherheit in Höhe des voraussichtlichen Schadens zu leisten; das</w:t>
      </w:r>
    </w:p>
    <w:p>
      <w:r>
        <w:t xml:space="preserve">Recht darf dann erst nach Leistung der Sicherheit ausgeübt werden.</w:t>
      </w:r>
    </w:p>
    <w:p>
      <w:r>
        <w:rPr>
          <w:color w:val="555555"/>
          <w:sz w:val="17"/>
        </w:rPr>
        <w:t xml:space="preserve">Zitiervorschlag: § 15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