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BbgNRG (Brandenburg) — Beseitigen der Nachbarwand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Solange und soweit noch nicht angebaut worden ist, darf</w:t>
      </w:r>
    </w:p>
    <w:p>
      <w:r>
        <w:t xml:space="preserve">der Eigentümer des zuerst bebauten Grundstücks die Nachbarwand</w:t>
      </w:r>
    </w:p>
    <w:p>
      <w:r>
        <w:t xml:space="preserve">beseitigen, wenn der anbauberechtigte Nachbar der Beseitigung nicht</w:t>
      </w:r>
    </w:p>
    <w:p>
      <w:r>
        <w:t xml:space="preserve">widerspricht.</w:t>
      </w:r>
    </w:p>
    <w:p>
      <w:r>
        <w:t xml:space="preserve">(2) Die Absicht, die Nachbarwand zu beseitigen, ist</w:t>
      </w:r>
    </w:p>
    <w:p>
      <w:r>
        <w:t xml:space="preserve">anzuzeigen; § 8 gilt entsprechend.</w:t>
      </w:r>
    </w:p>
    <w:p>
      <w:r>
        <w:t xml:space="preserve">(3) Der Widerspruch des anbauberechtigten Nachbarn muß</w:t>
      </w:r>
    </w:p>
    <w:p>
      <w:r>
        <w:t xml:space="preserve">binnen zwei Monaten nach Zugang der Anzeige schriftlich erhoben werden. Der</w:t>
      </w:r>
    </w:p>
    <w:p>
      <w:r>
        <w:t xml:space="preserve">Widerspruch wird unbeachtlich, wenn</w:t>
      </w:r>
    </w:p>
    <w:p>
      <w:r>
        <w:t xml:space="preserve">der anbauberechtigte Nachbar nicht innerhalb von sechs Monaten nach</w:t>
      </w:r>
    </w:p>
    <w:p>
      <w:r>
        <w:t xml:space="preserve">Empfang der Anzeige einen Antrag auf Genehmigung eines Anbaus bei der</w:t>
      </w:r>
    </w:p>
    <w:p>
      <w:r>
        <w:t xml:space="preserve">Baugenehmigungsbehörde einreicht oder</w:t>
      </w:r>
    </w:p>
    <w:p>
      <w:r>
        <w:t xml:space="preserve">die Ablehnung einer beantragten Baugenehmigung nicht mehr angefochten</w:t>
      </w:r>
    </w:p>
    <w:p>
      <w:r>
        <w:t xml:space="preserve">werden kann oder</w:t>
      </w:r>
    </w:p>
    <w:p>
      <w:r>
        <w:t xml:space="preserve">von einer Baugenehmigung nicht innerhalb eines Jahres nach Erteilung</w:t>
      </w:r>
    </w:p>
    <w:p>
      <w:r>
        <w:t xml:space="preserve">Gebrauch gemacht wird.</w:t>
      </w:r>
    </w:p>
    <w:p>
      <w:r>
        <w:t xml:space="preserve">(4) Macht der Eigentümer des zuerst bebauten</w:t>
      </w:r>
    </w:p>
    <w:p>
      <w:r>
        <w:t xml:space="preserve">Grundstücks von seinem Recht zur Beseitigung Gebrauch, so hat er dem</w:t>
      </w:r>
    </w:p>
    <w:p>
      <w:r>
        <w:t xml:space="preserve">Nachbarn für die Dauer der Nutzung des Nachbargrundstücks durch die</w:t>
      </w:r>
    </w:p>
    <w:p>
      <w:r>
        <w:t xml:space="preserve">Nachbarwand eine angemessene Vergütung zu leisten. Beseitigt der</w:t>
      </w:r>
    </w:p>
    <w:p>
      <w:r>
        <w:t xml:space="preserve">Eigentümer des zuerst bebauten Grundstücks die Nachbarwand ganz oder</w:t>
      </w:r>
    </w:p>
    <w:p>
      <w:r>
        <w:t xml:space="preserve">teilweise, ohne hierzu nach den Absätzen 1 bis 3 berechtigt zu sein, so</w:t>
      </w:r>
    </w:p>
    <w:p>
      <w:r>
        <w:t xml:space="preserve">hat er dem Nachbarn Ersatz für den durch die völlige oder teilweise</w:t>
      </w:r>
    </w:p>
    <w:p>
      <w:r>
        <w:t xml:space="preserve">Beseitigung der Anbaumöglichkeit zugefügten Schaden zu leisten; der</w:t>
      </w:r>
    </w:p>
    <w:p>
      <w:r>
        <w:t xml:space="preserve">Anspruch wird mit der Fertigstellung des späteren Bauwerks im Rohbau</w:t>
      </w:r>
    </w:p>
    <w:p>
      <w:r>
        <w:t xml:space="preserve">fällig.</w:t>
      </w:r>
    </w:p>
    <w:p>
      <w:r>
        <w:rPr>
          <w:color w:val="555555"/>
          <w:sz w:val="17"/>
        </w:rPr>
        <w:t xml:space="preserve">Zitiervorschlag: § 13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