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BbgNRG (Brandenburg) — Abriß eines der Bauwerke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Wird nach erfolgtem Anbau eines der beiden Bauwerke abgerissen</w:t>
      </w:r>
    </w:p>
    <w:p>
      <w:r>
        <w:t xml:space="preserve">und nicht neu errichtet, so hat der Eigentümer des Grundstücks, auf</w:t>
      </w:r>
    </w:p>
    <w:p>
      <w:r>
        <w:t xml:space="preserve">dem das abgerissene Bauwerk stand, die durch den Abriß an der Nachbarwand</w:t>
      </w:r>
    </w:p>
    <w:p>
      <w:r>
        <w:t xml:space="preserve">entstandenen Schäden zu beseitigen und die Außenfläche des</w:t>
      </w:r>
    </w:p>
    <w:p>
      <w:r>
        <w:t xml:space="preserve">bisher gemeinsam genutzten Teils der Nachbarwand in einen für eine</w:t>
      </w:r>
    </w:p>
    <w:p>
      <w:r>
        <w:t xml:space="preserve">Außenwand geeigneten Zustand zu versetzen. Für den Teil der</w:t>
      </w:r>
    </w:p>
    <w:p>
      <w:r>
        <w:t xml:space="preserve">Nachbarwand, welcher auf dem nunmehr unbebauten Grundstück steht, ist eine</w:t>
      </w:r>
    </w:p>
    <w:p>
      <w:r>
        <w:t xml:space="preserve">Vergütung an den Eigentümer des unbebauten Grundstücks zu</w:t>
      </w:r>
    </w:p>
    <w:p>
      <w:r>
        <w:t xml:space="preserve">zahlen. § 10 Abs. 1 gilt entsprechend.</w:t>
      </w:r>
    </w:p>
    <w:p>
      <w:r>
        <w:rPr>
          <w:color w:val="555555"/>
          <w:sz w:val="17"/>
        </w:rPr>
        <w:t xml:space="preserve">Zitiervorschlag: § 11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