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10 BbgNRG (Brandenburg) — Unterhaltung der Nachbarwand</w:t>
      </w:r>
    </w:p>
    <w:p>
      <w:r>
        <w:rPr>
          <w:color w:val="555555"/>
          <w:sz w:val="18"/>
        </w:rPr>
        <w:t xml:space="preserve">Brandenburgisches Nachbarrechtsgesetz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Bis zum Anbau fallen die Unterhaltungskosten der</w:t>
      </w:r>
    </w:p>
    <w:p>
      <w:r>
        <w:t xml:space="preserve">Nachbarwand dem Eigentümer des zuerst bebauten Grundstücks allein zur</w:t>
      </w:r>
    </w:p>
    <w:p>
      <w:r>
        <w:t xml:space="preserve">Last.</w:t>
      </w:r>
    </w:p>
    <w:p>
      <w:r>
        <w:t xml:space="preserve">(2) Nach dem Anbau sind die Unterhaltungskosten für den</w:t>
      </w:r>
    </w:p>
    <w:p>
      <w:r>
        <w:t xml:space="preserve">gemeinsam genutzten Teil der Nachbarwand von beiden Nachbarn entsprechend dem</w:t>
      </w:r>
    </w:p>
    <w:p>
      <w:r>
        <w:t xml:space="preserve">Verhältnis ihrer Beteiligung gemäß § 6 Abs. 3 zu tragen.</w:t>
      </w:r>
    </w:p>
    <w:p>
      <w:r>
        <w:rPr>
          <w:color w:val="555555"/>
          <w:sz w:val="17"/>
        </w:rPr>
        <w:t xml:space="preserve">Zitiervorschlag: § 10 BbgNRG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https://recht.nulegal.eu/gesetze/BbgNRG/10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10 BbgNRG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