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BbgNRG (Brandenburg) — Grundsatz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Grundstücksnachbarn haben ihre nachbarlichen</w:t>
      </w:r>
    </w:p>
    <w:p>
      <w:r>
        <w:t xml:space="preserve">Beziehungen so zu gestalten, daß ihre individuellen und</w:t>
      </w:r>
    </w:p>
    <w:p>
      <w:r>
        <w:t xml:space="preserve">gemeinschaftlichen Interessen mit den Erfordernissen, die an ein gutes</w:t>
      </w:r>
    </w:p>
    <w:p>
      <w:r>
        <w:t xml:space="preserve">nachbarschaftliches Verhältnis zu stellen sind, übereinstimmen und</w:t>
      </w:r>
    </w:p>
    <w:p>
      <w:r>
        <w:t xml:space="preserve">gegenseitig keine Schäden oder vermeidbare Belästigungen aus der</w:t>
      </w:r>
    </w:p>
    <w:p>
      <w:r>
        <w:t xml:space="preserve">Nutzung der Grundstücke und Gebäude entstehen. Zur Beilegung von</w:t>
      </w:r>
    </w:p>
    <w:p>
      <w:r>
        <w:t xml:space="preserve">Konflikten haben sie verantwortungsbewußt zusammenzuwirken.</w:t>
      </w:r>
    </w:p>
    <w:p>
      <w:r>
        <w:rPr>
          <w:color w:val="555555"/>
          <w:sz w:val="17"/>
        </w:rPr>
        <w:t xml:space="preserve">Zitiervorschlag: § 1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