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BbgNIS2UmsV (Brandenburg) — Berichtspflichten und freiwillige Meldung relevanter Informationen</w:t>
      </w:r>
    </w:p>
    <w:p>
      <w:r>
        <w:rPr>
          <w:color w:val="555555"/>
          <w:sz w:val="18"/>
        </w:rPr>
        <w:t xml:space="preserve">Brandenburgische NIS-2-Umsetzungsverordnung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wichtigen Einrichtungen nach § 3 Satz 1 übermitteln dem CSIRT bei Eintritt eines erheblichen Sicherheitsvorfalls im Sinne des Artikel 23 Absatz 3 der NIS-2-Richtlinie die in Artikel 23 Absatz 4 der NIS-2-Richtlinie genannten Informationen innerhalb der in dieser Bestimmung genannten Fristen. Sie können dem CSIRT freiwillige Meldungen nach Artikel 30 Absatz 1 der NIS-2-Richtlinie erstatten.</w:t>
      </w:r>
    </w:p>
    <w:p>
      <w:r>
        <w:rPr>
          <w:color w:val="555555"/>
          <w:sz w:val="17"/>
        </w:rPr>
        <w:t xml:space="preserve">Zitiervorschlag: § 4 BbgNIS2UmsV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https://recht.nulegal.eu/gesetze/BbgNIS2UmsV/4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