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BbgMobG (Brandenburg) — Mobilitätsbildung und Mobilitätsberatung</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fördert eine umfassende, an den Prinzipien der Bildung für nachhaltige Entwicklung orientierte Mobilitätsbildung von der Vorschule bis zur Erwachsenenbildung. Ziel ist es, durch Angebote der Mobilitätsbildung dazu beizutragen, dass alle Menschen ihre individuellen Mobilitätsbedürfnisse sicher, verantwortungsbewusst, selbstbestimmt sowie sozial-, umwelt- und klimaverträglich ausgestalten können.</w:t>
      </w:r>
    </w:p>
    <w:p>
      <w:r>
        <w:t xml:space="preserve">(2) Die Landkreise, kreisfreien Städte und Gemeinden werden bei der Umsetzung einer nachhaltigen Mobilitätswende durch das Land Brandenburg und die Verkehrsverbund Berlin-Brandenburg GmbH beraten, gefördert und unterstützt mit dem Ziel, Ressourcen zu bündeln und Verwaltungsgrenzen überschreitende Kooperationen zu fördern. Dafür sollen vorhandene Strukturen geeignet gebündelt und ergänzt werden.</w:t>
      </w:r>
    </w:p>
    <w:p>
      <w:r>
        <w:rPr>
          <w:color w:val="555555"/>
          <w:sz w:val="17"/>
        </w:rPr>
        <w:t xml:space="preserve">Zitiervorschlag: § 7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