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BbgMobG (Brandenburg) — Aufenthaltsqualität öffentlicher Räume</w:t>
      </w:r>
    </w:p>
    <w:p>
      <w:r>
        <w:rPr>
          <w:color w:val="555555"/>
          <w:sz w:val="18"/>
        </w:rPr>
        <w:t xml:space="preserve">Mobilitätsgesetz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Durch die Gestaltung der Verkehrsinfrastruktur und durch möglichst geringe Rauminanspruchnahme des fließenden und ruhenden Kraftfahrzeugverkehrs sollen die Aufenthaltsqualität des öffentlichen Raums und die Lebensqualität verbessert werden.</w:t>
      </w:r>
    </w:p>
    <w:p>
      <w:r>
        <w:t xml:space="preserve">(2) Bei der Umgestaltung vorhandener Verkehrsinfrastruktur soll neben ihrer funktionalen die soziale, stadtkulturelle, architektonische, denkmalpflegerische, historische oder klimawirksame Bedeutsamkeit berücksichtigt werden.</w:t>
      </w:r>
    </w:p>
    <w:p>
      <w:r>
        <w:t xml:space="preserve">(3) Kommunen können zur Erhöhung der Aufenthaltsqualität geeignete Straßen und Plätze nach Zweckbestimmung und Ausgestaltung insbesondere als Orte der Begegnung, des Verweilens, der Erholung, der Kommunikation und des Spielens nutzbar machen. Entsprechende Nutzungen können gebührenfrei gestellt werden. Insbesondere soll bei Neuanlage und grundlegender Umgestaltung von Straßen und Plätzen geprüft werden, ob und inwieweit dieses Ziel der Erhöhung der Aufenthaltsqualität umgesetzt werden kann. Dabei sind die Belange des Wirtschaftsverkehrs und dessen Bedarf an Halteflächen im betroffenen Raum zu berücksichtigen.</w:t>
      </w:r>
    </w:p>
    <w:p>
      <w:r>
        <w:rPr>
          <w:color w:val="555555"/>
          <w:sz w:val="17"/>
        </w:rPr>
        <w:t xml:space="preserve">Zitiervorschlag: § 4 BbgMobG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https://recht.nulegal.eu/gesetze/BbgMobG/4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