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BbgMobG (Brandenburg) — Mobilitätsmanagement an Schulen und Kindergärten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Sicherheit der Kinder beim Besuch von Kindertagesstätten und Schulen ist zu gewährleisten.</w:t>
      </w:r>
    </w:p>
    <w:p>
      <w:r>
        <w:t xml:space="preserve">(2) Die Teilnahme an der Radfahrprüfung in der Jahrgangsstufe 4 wird empfohlen.</w:t>
      </w:r>
    </w:p>
    <w:p>
      <w:r>
        <w:t xml:space="preserve">(3) Das Land unterstützt nach Maßgabe des Haushaltsgesetzes die strukturelle Einführung von Kinderunfallkommissionen.</w:t>
      </w:r>
    </w:p>
    <w:p>
      <w:r>
        <w:rPr>
          <w:color w:val="555555"/>
          <w:sz w:val="17"/>
        </w:rPr>
        <w:t xml:space="preserve">Zitiervorschlag: § 33 BbgMobG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