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BbgMobG (Brandenburg) — Technische Fahrzeugsicherheitssysteme</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Technische Fahrzeugsicherheitssysteme leisten einen wichtigen Beitrag zur Erhöhung der Verkehrssicherheit im Straßenverkehr.</w:t>
      </w:r>
    </w:p>
    <w:p>
      <w:r>
        <w:t xml:space="preserve">(2) Bei Neuanschaffungen von Fahrzeugen der Landesverwaltung mit einem zulässigen Gesamtgewicht über 5 Tonnen sind technische Fahrzeugsicherheitssysteme zu berücksichtigen. Eine Nachrüstung des bestehenden Fuhrparks ist nach dem Grundsatz der Verhältnismäßigkeit und dem Einsatzbereich der Fahrzeuge vorzunehmen.</w:t>
      </w:r>
    </w:p>
    <w:p>
      <w:r>
        <w:t xml:space="preserve">(3) Voraussetzung für eine Fahrzeugförderung durch das Land ist die Ausrüstung mit technischen Sicherheitssystemen gemäß der Verordnung ( EU ) 2019/2144 des Europäischen Parlaments und des Rates vom 27. November 2019 über die Typgenehmigung von Kraftfahrzeugen und Kraftfahrzeuganhängern sowie von Systemen, Bauteilen und selbstständigen technischen Einheiten für diese Fahrzeuge im Hinblick auf ihre allgemeine Sicherheit und den Schutz der Fahrzeuginsassen und von ungeschützten Verkehrsteilnehmern, zur Änderung der Verordnung (EU) 2018/858 des Europäischen Parlaments und des Rates und zur Aufhebung der Verordnungen ( EG ) Nr. 78/2009, (EG) Nr. 79/2009 und (EG) Nr. 661/2009 des Europäischen Parlaments und des Rates sowie der Verordnungen (EG) Nr. 631/2009, (EU) Nr. 406/2010, (EU) Nr. 672/2010, (EU) Nr. 1003/2010, (EU) Nr. 1005/2010, (EU) Nr. 1008/2010, (EU) Nr. 1009/2010, (EU) Nr. 19/2011, (EU) Nr. 109/2011, (EU) Nr. 458/2011, (EU) Nr. 65/2012, (EU) Nr. 130/2012, (EU) Nr. 347/2012, (EU) Nr. 351/2012, (EU) Nr. 1230/2012 und (EU) 2015/166 der Kommission ( ABl. L 325 vom 16.12.2019, S. 1, L 398 vom 11.11.2021, S. 29), die zuletzt durch die Verordnung (EU) 2022/1398 vom 8. Juni 2022 (ABl. L 213 vom 16.8.2022, S. 1) geändert worden ist.</w:t>
      </w:r>
    </w:p>
    <w:p>
      <w:r>
        <w:rPr>
          <w:color w:val="555555"/>
          <w:sz w:val="17"/>
        </w:rPr>
        <w:t xml:space="preserve">Zitiervorschlag: § 32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