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BbgMobG (Brandenburg) — Sicherheitsaudits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Sicherheitsaudits bezeichnen die unabhängige Prüfung aller sicherheitsrelevanten Planungsunterlagen nach den allgemein anerkannten Regeln der Technik, um Sicherheitsdefizite in der Planung zu identifizieren.</w:t>
      </w:r>
    </w:p>
    <w:p>
      <w:r>
        <w:t xml:space="preserve">(2) Sicherheitsaudits sind bei Neu-, Um- oder Ausbaumaßnahmen von Bundes- und Landesstraßen und anlassbezogen, insbesondere bei Unfallhäufung, durchzuführen. Für Kreis- und Gemeindestraßen wird dies empfohlen.</w:t>
      </w:r>
    </w:p>
    <w:p>
      <w:r>
        <w:t xml:space="preserve">(3) Die Ergebnisse der Sicherheitsaudits sind zu dokumentieren, und erkannte Sicherheitsmängel sind im Rahmen der bestehenden Möglichkeiten zu beheben.</w:t>
      </w:r>
    </w:p>
    <w:p>
      <w:r>
        <w:rPr>
          <w:color w:val="555555"/>
          <w:sz w:val="17"/>
        </w:rPr>
        <w:t xml:space="preserve">Zitiervorschlag: § 31 BbgMobG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