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BbgMobG (Brandenburg) — Präventive Verkehrssicherheitsarbeit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fördert nach Maßgabe des Haushaltsgesetzes Maßnahmen zur Sicherheit im Verkehr.</w:t>
      </w:r>
    </w:p>
    <w:p>
      <w:r>
        <w:t xml:space="preserve">(2) Das Land unterstützt nach Maßgabe des Haushaltsgesetzes die strukturelle Erfassung von Gefahrenstellen in Kooperation mit der Kinderunfallkommission.</w:t>
      </w:r>
    </w:p>
    <w:p>
      <w:r>
        <w:t xml:space="preserve">(3) Zum Schutz des Fuß- und Radverkehrs ist, unter Berücksichtigung der Möglichkeiten neuer Technologien, ein fehlerverzeihend gestaltetes Verkehrssystem im Sinne des § 1 Absatz 5 anzustreben.</w:t>
      </w:r>
    </w:p>
    <w:p>
      <w:r>
        <w:t xml:space="preserve">(4) Bei der Polizei werden nach Maßgabe des Haushaltsgesetzes die Kapazitäten für präventive Verkehrssicherheitsarbeit ausgebaut.</w:t>
      </w:r>
    </w:p>
    <w:p>
      <w:r>
        <w:rPr>
          <w:color w:val="555555"/>
          <w:sz w:val="17"/>
        </w:rPr>
        <w:t xml:space="preserve">Zitiervorschlag: § 30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