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BbgMobG (Brandenburg) — Verkehrssicherheitsprogramm</w:t>
      </w:r>
    </w:p>
    <w:p>
      <w:r>
        <w:rPr>
          <w:color w:val="555555"/>
          <w:sz w:val="18"/>
        </w:rPr>
        <w:t xml:space="preserve">Mobilitätsgesetz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für Verkehr zuständige Ministerium stellt zur Erreichung der Ziele nach § 1 Absatz 5 ein Verkehrssicherheitsprogramm auf. Im Verkehrssicherheitsprogramm bilden ungeschützte Verkehrsteilnehmerinnen und Verkehrsteilnehmer einen Schwerpunkt. Auf Grundlage einer Analyse des Unfallgeschehens und räumlicher Problemlagen werden konkrete Handlungserfordernisse und Maßnahmen ermittelt.</w:t>
      </w:r>
    </w:p>
    <w:p>
      <w:r>
        <w:t xml:space="preserve">(2) Die Maßnahmen im Verkehrssicherheitsprogramm sind alle fünf Jahre zu evaluieren.</w:t>
      </w:r>
    </w:p>
    <w:p>
      <w:r>
        <w:rPr>
          <w:color w:val="555555"/>
          <w:sz w:val="17"/>
        </w:rPr>
        <w:t xml:space="preserve">Zitiervorschlag: § 29 BbgMobG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https://recht.nulegal.eu/gesetze/BbgMobG/29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