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BbgMobG (Brandenburg) — Elektrokleinstfahrzeuge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Elektrokleinstfahrzeuge stellen einen Bestandteil des multimodalen Mobilitätsangebotes dar.</w:t>
      </w:r>
    </w:p>
    <w:p>
      <w:r>
        <w:t xml:space="preserve">(2) Für das Abstellen von Elektrokleinstfahrzeugen im Sinne der Elektrokleinstfahrzeuge-Verordnung sollen im öffentlichen Raum bei Bedarf gesonderte Bereiche jenseits von Gehwegen und Radverkehrsanlagen ausgewiesen werden.</w:t>
      </w:r>
    </w:p>
    <w:p>
      <w:r>
        <w:rPr>
          <w:color w:val="555555"/>
          <w:sz w:val="17"/>
        </w:rPr>
        <w:t xml:space="preserve">Zitiervorschlag: § 25 BbgMobG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