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BbgMobG (Brandenburg) — Radverkehrsstrategie</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schreibt unter Federführung des für Verkehr zuständigen Ministeriums die Radverkehrsstrategie des Landes fort. Ziel dieser Strategie ist es, den Anteil des Radverkehrs bis 2030 auf 20 Prozent zu steigern sowie Handlungsschwerpunkte und konkrete Maßnahmen zur Erreichung der Ziele dieses Gesetzes zu formulieren. Die Radverkehrsstrategie wird spätestens alle fünf Jahre evaluiert. Die für die Maßnahmen zuständigen Akteure steuern die Umsetzung der Maßnahmen während der Laufzeit.</w:t>
      </w:r>
    </w:p>
    <w:p>
      <w:r>
        <w:t xml:space="preserve">(2) Ein Beirat, dem Vertreterinnen und Vertreter aus Politik, Verwaltung, Kommunen, Interessensvertretungen, Wissenschaft und Wirtschaft angehören, begleitet die Umsetzung der Radverkehrsstrategie. Er soll mindestens einmal im Jahr zusammenkommen und über die strategische Ausrichtung der Handlungsschwerpunkte beraten.</w:t>
      </w:r>
    </w:p>
    <w:p>
      <w:r>
        <w:rPr>
          <w:color w:val="555555"/>
          <w:sz w:val="17"/>
        </w:rPr>
        <w:t xml:space="preserve">Zitiervorschlag: § 14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