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BbgMobG (Brandenburg) — Unterstützungsangebote zur Weiterentwicklung des Rad- und Fußverkehrs</w:t>
      </w:r>
    </w:p>
    <w:p>
      <w:r>
        <w:rPr>
          <w:color w:val="555555"/>
          <w:sz w:val="18"/>
        </w:rPr>
        <w:t xml:space="preserve">Mobilitätsgesetz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Land unterstützt durch geeignete Strukturen nach Maßgabe des Haushaltsgesetzes ein integriertes Beratungs-, Vernetzungs- und Informationsangebot, um die Entwicklung des Rad- und Fußverkehrs zu beschleunigen und die Umsetzung der Radverkehrsstrategie nach § 14 zu forcieren. Folgende Angebote können dabei berücksichtigt werden:</w:t>
      </w:r>
    </w:p>
    <w:p>
      <w:r>
        <w:t xml:space="preserve">die Unterstützung und Beratung der Kommunen bei Planungs- und Umsetzungsfragen,</w:t>
      </w:r>
    </w:p>
    <w:p>
      <w:r>
        <w:t xml:space="preserve">die Erstellung von Musterlösungen für den Rad- und Fußverkehr,</w:t>
      </w:r>
    </w:p>
    <w:p>
      <w:r>
        <w:t xml:space="preserve">die Zusammenarbeit mit Organisationen, Verbänden sowie der Wissenschaft, Forschung und Lehre,</w:t>
      </w:r>
    </w:p>
    <w:p>
      <w:r>
        <w:t xml:space="preserve">die Beratung von Organisationen und Unternehmen bei der Umsetzung eines nachhaltigen betrieblichen Mobilitätsmanagements und bei der Zertifizierung als fahrradfreundlicher Arbeitgeber,</w:t>
      </w:r>
    </w:p>
    <w:p>
      <w:r>
        <w:t xml:space="preserve">die Bündelung und ergänzende Organisation zur Sicherstellung von Weiterbildungsangeboten zum Rad- und Fußverkehr und</w:t>
      </w:r>
    </w:p>
    <w:p>
      <w:r>
        <w:t xml:space="preserve">die Öffentlichkeitsarbeit.</w:t>
      </w:r>
    </w:p>
    <w:p>
      <w:r>
        <w:rPr>
          <w:color w:val="555555"/>
          <w:sz w:val="17"/>
        </w:rPr>
        <w:t xml:space="preserve">Zitiervorschlag: § 12 BbgMobG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https://recht.nulegal.eu/gesetze/BbgMobG/12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