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BbgMinG (Brandenburg) — Entschädigungen und Tagegelder</w:t>
      </w:r>
    </w:p>
    <w:p>
      <w:r>
        <w:rPr>
          <w:color w:val="555555"/>
          <w:sz w:val="18"/>
        </w:rPr>
        <w:t xml:space="preserve">Brandenburgisches Ministergesetz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Mitglieder der Landesregierung erhalten eine Entschädigung für die infolge der Ernennung oder Entlassung erforderlich werdenden Umzüge wie eine Landesbeamtin oder ein Landesbeamter.</w:t>
      </w:r>
    </w:p>
    <w:p>
      <w:r>
        <w:t xml:space="preserve">(2) Bei amtlicher Tätigkeit außerhalb des Sitzes der Landesregierung erhalten sie Tagegelder und Entschädigungen für Reisekosten wie eine Landesbeamtin oder ein Landesbeamter.</w:t>
      </w:r>
    </w:p>
    <w:p>
      <w:r>
        <w:rPr>
          <w:color w:val="555555"/>
          <w:sz w:val="17"/>
        </w:rPr>
        <w:t xml:space="preserve">Zitiervorschlag: § 9 BbgMinG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https://recht.nulegal.eu/gesetze/BbgMinG/9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