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5e BbgMinG (Brandenburg) — Gewährung von Übergangsgeld bei Untersagung</w:t>
      </w:r>
    </w:p>
    <w:p>
      <w:r>
        <w:rPr>
          <w:color w:val="555555"/>
          <w:sz w:val="18"/>
        </w:rPr>
        <w:t xml:space="preserve">Brandenburgisches Ministergesetz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Wird die Aufnahme einer Erwerbstätigkeit oder sonstigen Beschäftigung nach § 5c untersagt, so wird das Übergangsgeld für die Dauer der Untersagung entsprechend diesem Gesetz gewährt.</w:t>
      </w:r>
    </w:p>
    <w:p>
      <w:r>
        <w:rPr>
          <w:color w:val="555555"/>
          <w:sz w:val="17"/>
        </w:rPr>
        <w:t xml:space="preserve">Zitiervorschlag: § 5e BbgMinG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https://recht.nulegal.eu/gesetze/BbgMinG/5e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