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BbgMinG (Brandenburg) — Allgemeines</w:t>
      </w:r>
    </w:p>
    <w:p>
      <w:r>
        <w:rPr>
          <w:color w:val="555555"/>
          <w:sz w:val="18"/>
        </w:rPr>
        <w:t xml:space="preserve">Brandenburgisches Ministergesetz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Mitglieder der Landesregierung und ihre Hinterbliebenen erhalten nach Beendigung des Amtsverhältnisses Versorgung nach Maßgabe der Vorschriften dieses Abschnitts und des Abschnitts 4. § 8 Absatz 5 gilt für Empfängerinnen und Empfänger von Übergangsgeld, Ruhegehalt, Witwen- und Witwergeld, Waisengeld und Unterhaltsbeitrag entsprechend.</w:t>
      </w:r>
    </w:p>
    <w:p>
      <w:r>
        <w:rPr>
          <w:color w:val="555555"/>
          <w:sz w:val="17"/>
        </w:rPr>
        <w:t xml:space="preserve">Zitiervorschlag: § 10 BbgMinG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https://recht.nulegal.eu/gesetze/BbgMinG/10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