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BbgMeldeG (Brandenburg) — Datenverantwortlichkeit</w:t>
      </w:r>
    </w:p>
    <w:p>
      <w:r>
        <w:rPr>
          <w:color w:val="555555"/>
          <w:sz w:val="18"/>
        </w:rPr>
        <w:t xml:space="preserve">Brandenburgisches Meldegesetz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Meldebehörden sind gegenüber der Registerbehörde für die Zulässigkeit der Übermittlung sowie die Richtigkeit und die Aktualität der von ihnen übermittelten Daten verantwortlich. Die Registerbehörde unterrichtet die zuständige Meldebehörde, wenn sie Unstimmigkeiten feststellt. Die Meldebehörden haben auf Anforderung der Registerbehörde die in § 6 Absatz 1 genannten Daten zu übermitteln.</w:t>
      </w:r>
    </w:p>
    <w:p>
      <w:r>
        <w:rPr>
          <w:color w:val="555555"/>
          <w:sz w:val="17"/>
        </w:rPr>
        <w:t xml:space="preserve">Zitiervorschlag: § 9 BbgMeldeG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https://recht.nulegal.eu/gesetze/BbgMeldeG/9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