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BbgMeldeG (Brandenburg) — Besondere Meldescheine für das Beherbergungswesen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Für die Erhebung von Kurbeiträgen und Tourismusbeiträgen nach § 11 des Kommunalabgabengesetzes für das Land Brandenburg dürfen auf dem besonderen Meldeschein die in § 30 Absatz 2 Nummer 1 bis 4 und 6 bis 7 des Bundesmeldegesetzes aufgeführten Daten sowie zusätzlich der Familienname, die Vornamen und das Geburtsdatum des mitreisenden Ehegatten oder Lebenspartners oder der Lebenspartnerin verarbeitet werden. Angaben zur Staatsangehörigkeit nach § 30 Absatz 2 Nummer 7 des Bundesmeldegesetzes dürfen nicht verarbeitet werden.</w:t>
      </w:r>
    </w:p>
    <w:p>
      <w:r>
        <w:t xml:space="preserve">(2) Für Zwecke der Beherbergungs- und Fremdenverkehrsstatistik dürfen die auf dem besonderen Meldeschein nach § 30 Absatz 2 Nummer 1, 6 und 7 des Bundesmeldegesetzes erhobenen Daten verarbeitet werden.</w:t>
      </w:r>
    </w:p>
    <w:p>
      <w:r>
        <w:rPr>
          <w:color w:val="555555"/>
          <w:sz w:val="17"/>
        </w:rPr>
        <w:t xml:space="preserve">Zitiervorschlag: § 3 BbgMeldeG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