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BbgMVergV (Brandenburg) — Inkrafttreten</w:t>
      </w:r>
    </w:p>
    <w:p>
      <w:r>
        <w:rPr>
          <w:color w:val="555555"/>
          <w:sz w:val="18"/>
        </w:rPr>
        <w:t xml:space="preserve">Brandenburgische Mehrarbeitsvergütungsverordnung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ersten Tag des auf die Verkündung folgenden Kalendermonats in Kraft.</w:t>
      </w:r>
    </w:p>
    <w:p>
      <w:r>
        <w:t xml:space="preserve">Einzelnorm</w:t>
      </w:r>
    </w:p>
    <w:p>
      <w:r>
        <w:t xml:space="preserve">Potsdam, den 9. April 2019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Dr. Dietmar Woidke</w:t>
      </w:r>
    </w:p>
    <w:p>
      <w:r>
        <w:t xml:space="preserve">Der Minister der Finanzen</w:t>
      </w:r>
    </w:p>
    <w:p>
      <w:r>
        <w:t xml:space="preserve">Christian Görke</w:t>
      </w:r>
    </w:p>
    <w:p>
      <w:r>
        <w:rPr>
          <w:color w:val="555555"/>
          <w:sz w:val="17"/>
        </w:rPr>
        <w:t xml:space="preserve">Zitiervorschlag: § 7 BbgMVergV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https://recht.nulegal.eu/gesetze/BbgMVergV/7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