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BbgMVergV (Brandenburg) — Ausgleichszahlung zur Abgeltung von Arbeitszeitguthaben</w:t>
      </w:r>
    </w:p>
    <w:p>
      <w:r>
        <w:rPr>
          <w:color w:val="555555"/>
          <w:sz w:val="18"/>
        </w:rPr>
        <w:t xml:space="preserve">Brandenburgische Mehrarbeitsvergütungsverordnung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Wenn bei einer langfristigen ungleichmäßigen Verteilung der Arbeitszeit ein Ereignis eintritt, durch das der vorgesehene Zeitausgleich nicht oder nur teilweise möglich ist, ist eine Ausgleichszahlung zu gewähren:</w:t>
      </w:r>
    </w:p>
    <w:p>
      <w:r>
        <w:t xml:space="preserve">Bei Vollzeitbeschäftigung, bei der über die regelmäßige Arbeitszeit hinaus Dienst geleistet wurde, der für Beamtinnen und Beamte geltende Mehrarbeitsvergütungssatz. Maßgebend sind die beim Eintritt des Ereignisses geltenden Vergütungssätze.</w:t>
      </w:r>
    </w:p>
    <w:p>
      <w:r>
        <w:t xml:space="preserve">Bei Teilzeitbeschäftigung die Bezüge in Höhe des Unterschiedsbetrags zwischen den gezahlten Bezügen und der Besoldung, die nach dem Anteil der tatsächlichen Beschäftigung zugestanden hätte.</w:t>
      </w:r>
    </w:p>
    <w:p>
      <w:r>
        <w:t xml:space="preserve">(2) In der Arbeitsphase bleiben Zeiten ohne Dienstbezüge, soweit sie insgesamt sechs Monate überschreiten, unberücksichtigt.</w:t>
      </w:r>
    </w:p>
    <w:p>
      <w:r>
        <w:t xml:space="preserve">(3) Der Anspruch richtet sich gegen den Dienstherrn, bei dem die auszugleichende Arbeitszeit erbracht wurde.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BbgMVergV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https://recht.nulegal.eu/gesetze/BbgMVergV/6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