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BbgMVergV (Brandenburg) — Geltungsbereich</w:t>
      </w:r>
    </w:p>
    <w:p>
      <w:r>
        <w:rPr>
          <w:color w:val="555555"/>
          <w:sz w:val="18"/>
        </w:rPr>
        <w:t xml:space="preserve">Brandenburgische Mehrarbeitsvergütungsverordnung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gilt für die Beamtinnen und Beamten des Landes, der Gemeinden, der Gemeindeverbände und der sonstigen der Aufsicht des Landes unterstehenden Körperschaften, Anstalten und Stiftungen des öffentlichen Rechts; ausgenommen sind die Ehrenbeamtinnen und Ehrenbeamten.</w:t>
      </w:r>
    </w:p>
    <w:p>
      <w:r>
        <w:t xml:space="preserve">(2) Vergütungen für Mehrarbeit sowie Ausgleichszahlungen zur finanziellen Abgeltung von Arbeitszeitguthaben dürfen nur nach Maßgabe dieser Verordnung gezahlt werden.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BbgMVergV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https://recht.nulegal.eu/gesetze/BbgMVergV/1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