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BbgMKSchulG (Brandenburg) — Einschränkung eines Grundrechts</w:t>
      </w:r>
    </w:p>
    <w:p>
      <w:r>
        <w:rPr>
          <w:color w:val="555555"/>
          <w:sz w:val="18"/>
        </w:rPr>
        <w:t xml:space="preserve">Brandenburgisches Musik- und Kunstschulgesetz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§ 5 Absatz 2 und § 8 Absatz 2 wird das Grundrecht auf Datenschutz (Artikel 11 der Verfassung des Landes Brandenburg) eingeschränkt.</w:t>
      </w:r>
    </w:p>
    <w:p>
      <w:r>
        <w:rPr>
          <w:color w:val="555555"/>
          <w:sz w:val="17"/>
        </w:rPr>
        <w:t xml:space="preserve">Zitiervorschlag: § 12 BbgMKSchulG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https://recht.nulegal.eu/gesetze/BbgMKSchulG/12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