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BbgMFG (Brandenburg) — Rückbürgschaften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kann Selbsthilfeeinrichtungen der</w:t>
      </w:r>
    </w:p>
    <w:p>
      <w:r>
        <w:t xml:space="preserve">mittelständischen Wirtschaft Rückbürgschaften für von</w:t>
      </w:r>
    </w:p>
    <w:p>
      <w:r>
        <w:t xml:space="preserve">diesen eingegangenen Bürgschaftsverpflichtungen zugunsten kleiner und</w:t>
      </w:r>
    </w:p>
    <w:p>
      <w:r>
        <w:t xml:space="preserve">mittlerer Unternehmen gewähren. Für diesen Zweck können auch</w:t>
      </w:r>
    </w:p>
    <w:p>
      <w:r>
        <w:t xml:space="preserve">Darlehen oder Zuschüsse für Haftungsfonds von</w:t>
      </w:r>
    </w:p>
    <w:p>
      <w:r>
        <w:t xml:space="preserve">Selbsthilfeeinrichtungen der mittelständischen Wirtschaft gewährt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8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