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BbgMFG (Brandenburg) — Darlehen, Zuschüsse und Bürgschaften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Finanzhilfen des Landes werden in Form von zinsgünstigen</w:t>
      </w:r>
    </w:p>
    <w:p>
      <w:r>
        <w:t xml:space="preserve">Darlehen, Zuschüssen und durch die Übernahme von Bürgschaften</w:t>
      </w:r>
    </w:p>
    <w:p>
      <w:r>
        <w:t xml:space="preserve">für Investitionen, zeitlich befristet auch in Form von zinsgünstigen</w:t>
      </w:r>
    </w:p>
    <w:p>
      <w:r>
        <w:t xml:space="preserve">Darlehen und Bürgschaften für Betriebsmittel gewährt.</w:t>
      </w:r>
    </w:p>
    <w:p>
      <w:r>
        <w:rPr>
          <w:color w:val="555555"/>
          <w:sz w:val="17"/>
        </w:rPr>
        <w:t xml:space="preserve">Zitiervorschlag: § 7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