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BbgMFG (Brandenburg) — Finanzierung der Förderung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Förderung nach diesem Gesetz setzt in der Regel</w:t>
      </w:r>
    </w:p>
    <w:p>
      <w:r>
        <w:t xml:space="preserve">voraus, daß der Zahlungsempfänger eine angemessene Eigenleistung</w:t>
      </w:r>
    </w:p>
    <w:p>
      <w:r>
        <w:t xml:space="preserve">erbringt und die Gewähr für eine erfolgreiche Durchsetzung des</w:t>
      </w:r>
    </w:p>
    <w:p>
      <w:r>
        <w:t xml:space="preserve">Vorhabens bietet.</w:t>
      </w:r>
    </w:p>
    <w:p>
      <w:r>
        <w:t xml:space="preserve">(2) Die finanziellen Leistungen des Landes Brandenburg nach</w:t>
      </w:r>
    </w:p>
    <w:p>
      <w:r>
        <w:t xml:space="preserve">diesem Gesetz richten sich nach dem jeweiligen Haushaltsplan. Sie sind in der</w:t>
      </w:r>
    </w:p>
    <w:p>
      <w:r>
        <w:t xml:space="preserve">mittelfristigen Finanzplanung zu berücksichtigen.</w:t>
      </w:r>
    </w:p>
    <w:p>
      <w:r>
        <w:t xml:space="preserve">(3) Rechtsansprüche auf finanzielle und sonstige</w:t>
      </w:r>
    </w:p>
    <w:p>
      <w:r>
        <w:t xml:space="preserve">Förderungsmaßnahmen werden durch dieses Gesetz nicht begründet.</w:t>
      </w:r>
    </w:p>
    <w:p>
      <w:r>
        <w:t xml:space="preserve">(4) Die zur Förderung des Mittelstandes bestimmten</w:t>
      </w:r>
    </w:p>
    <w:p>
      <w:r>
        <w:t xml:space="preserve">staatlichen Mittel werden in einer Anlage zum Einzelplan des für</w:t>
      </w:r>
    </w:p>
    <w:p>
      <w:r>
        <w:t xml:space="preserve">Wirtschaft zuständigen Ministers im Haushaltsplan ausgewiesen.</w:t>
      </w:r>
    </w:p>
    <w:p>
      <w:r>
        <w:rPr>
          <w:color w:val="555555"/>
          <w:sz w:val="17"/>
        </w:rPr>
        <w:t xml:space="preserve">Zitiervorschlag: § 4 BbgMFG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