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BbgMFG (Brandenburg) — Abstimmung der Förderung</w:t>
      </w:r>
    </w:p>
    <w:p>
      <w:r>
        <w:rPr>
          <w:color w:val="555555"/>
          <w:sz w:val="18"/>
        </w:rPr>
        <w:t xml:space="preserve">Brandenburgisches Mittelstandsförderungsgesetz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Förderungsmaßnahmen nach diesem Gesetz sind</w:t>
      </w:r>
    </w:p>
    <w:p>
      <w:r>
        <w:t xml:space="preserve">mit den sonstigen Förderungsmaßnahmen des Landes Brandenburg</w:t>
      </w:r>
    </w:p>
    <w:p>
      <w:r>
        <w:t xml:space="preserve">abzustimmen. Die Förderungsmaßnahmen des Bundes und der</w:t>
      </w:r>
    </w:p>
    <w:p>
      <w:r>
        <w:t xml:space="preserve">Europäischen Gemeinschaften sind zu berücksichtigen.</w:t>
      </w:r>
    </w:p>
    <w:p>
      <w:r>
        <w:t xml:space="preserve">(2) Bei der Festlegung von Art und Umfang der</w:t>
      </w:r>
    </w:p>
    <w:p>
      <w:r>
        <w:t xml:space="preserve">Förderungsmaßnahmen sollen die berührten Verbände der</w:t>
      </w:r>
    </w:p>
    <w:p>
      <w:r>
        <w:t xml:space="preserve">Wirtschaft, die Industrie- und Handelskammern und die Handwerkskammern</w:t>
      </w:r>
    </w:p>
    <w:p>
      <w:r>
        <w:t xml:space="preserve">angehört werden.</w:t>
      </w:r>
    </w:p>
    <w:p>
      <w:r>
        <w:rPr>
          <w:color w:val="555555"/>
          <w:sz w:val="17"/>
        </w:rPr>
        <w:t xml:space="preserve">Zitiervorschlag: § 3 BbgMFG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https://recht.nulegal.eu/gesetze/BbgMFG/3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