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BbgMFG (Brandenburg) — Allgemeine Bindung der öffentlichen Hand</w:t>
      </w:r>
    </w:p>
    <w:p>
      <w:r>
        <w:rPr>
          <w:color w:val="555555"/>
          <w:sz w:val="18"/>
        </w:rPr>
        <w:t xml:space="preserve">Brandenburgisches Mittelstandsförderungsgesetz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Behörden des Landes, die Gemeinden und</w:t>
      </w:r>
    </w:p>
    <w:p>
      <w:r>
        <w:t xml:space="preserve">Gemeindeverbände sowie die sonstigen der Aufsicht des Landes</w:t>
      </w:r>
    </w:p>
    <w:p>
      <w:r>
        <w:t xml:space="preserve">unterstehenden Körperschaften, Stiftungen und Anstalten des</w:t>
      </w:r>
    </w:p>
    <w:p>
      <w:r>
        <w:t xml:space="preserve">öffentlichen Rechts sind verpflichtet, bei allen Planungen, Programmen und</w:t>
      </w:r>
    </w:p>
    <w:p>
      <w:r>
        <w:t xml:space="preserve">Maßnahmen die Ziele und Grundsätze dieses Gesetzes zu</w:t>
      </w:r>
    </w:p>
    <w:p>
      <w:r>
        <w:t xml:space="preserve">berücksichtigen.</w:t>
      </w:r>
    </w:p>
    <w:p>
      <w:r>
        <w:t xml:space="preserve">(2) Die in Absatz 1 genannten juristischen Personen wirken in</w:t>
      </w:r>
    </w:p>
    <w:p>
      <w:r>
        <w:t xml:space="preserve">Ausübung ihrer Gesellschafterrechte in Unternehmen, an denen sie beteiligt</w:t>
      </w:r>
    </w:p>
    <w:p>
      <w:r>
        <w:t xml:space="preserve">sind, darauf hin, daß die Ziele des Gesetzes in gleicher Weise beachtet</w:t>
      </w:r>
    </w:p>
    <w:p>
      <w:r>
        <w:t xml:space="preserve">werden.</w:t>
      </w:r>
    </w:p>
    <w:p>
      <w:r>
        <w:t xml:space="preserve">(3) Bei der Erschließung größerer Gewerbe- und</w:t>
      </w:r>
    </w:p>
    <w:p>
      <w:r>
        <w:t xml:space="preserve">Wohnbauflächen sollen planerische Vorkehrungen einen angemessenen Teil</w:t>
      </w:r>
    </w:p>
    <w:p>
      <w:r>
        <w:t xml:space="preserve">für die Ansiedlung von Klein- und Mittelbetrieben sichern. Insbesondere</w:t>
      </w:r>
    </w:p>
    <w:p>
      <w:r>
        <w:t xml:space="preserve">ist darauf hinzuwirken, daß im Bereich der Grundstückspolitik</w:t>
      </w:r>
    </w:p>
    <w:p>
      <w:r>
        <w:t xml:space="preserve">verstärkt vom Institut des Erbbaurechts Gebrauch gemacht wird.</w:t>
      </w:r>
    </w:p>
    <w:p>
      <w:r>
        <w:rPr>
          <w:color w:val="555555"/>
          <w:sz w:val="17"/>
        </w:rPr>
        <w:t xml:space="preserve">Zitiervorschlag: § 2 BbgMFG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https://recht.nulegal.eu/gesetze/BbgMFG/2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