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BbgMFG (Brandenburg) — Mittelstandsbericht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zuständige Mitglied der Landesregierung berichtet dem</w:t>
      </w:r>
    </w:p>
    <w:p>
      <w:r>
        <w:t xml:space="preserve">Landtag einmal in der Legislaturperiode und dem Ausschuß für</w:t>
      </w:r>
    </w:p>
    <w:p>
      <w:r>
        <w:t xml:space="preserve">Wirtschaft, Mittelstand und Technologie vor der Haushaltsberatung über den</w:t>
      </w:r>
    </w:p>
    <w:p>
      <w:r>
        <w:t xml:space="preserve">Stand der Entwicklung der mittelständischen Wirtschaft und der freien</w:t>
      </w:r>
    </w:p>
    <w:p>
      <w:r>
        <w:t xml:space="preserve">Berufe. Der Bericht soll auch die Ergebnisse der eingeleiteten und</w:t>
      </w:r>
    </w:p>
    <w:p>
      <w:r>
        <w:t xml:space="preserve">durchgeführten Förderungsmaßnahmen und deren Auswirkungen</w:t>
      </w:r>
    </w:p>
    <w:p>
      <w:r>
        <w:t xml:space="preserve">darstellen.</w:t>
      </w:r>
    </w:p>
    <w:p>
      <w:r>
        <w:rPr>
          <w:color w:val="555555"/>
          <w:sz w:val="17"/>
        </w:rPr>
        <w:t xml:space="preserve">Zitiervorschlag: § 11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