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BbgMFG (Brandenburg) — Ziel des Gesetzes</w:t>
      </w:r>
    </w:p>
    <w:p>
      <w:r>
        <w:rPr>
          <w:color w:val="555555"/>
          <w:sz w:val="18"/>
        </w:rPr>
        <w:t xml:space="preserve">Brandenburgisches Mittelstandsförderungsgesetz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Ziel des Gesetzes ist es, - im Interesse der</w:t>
      </w:r>
    </w:p>
    <w:p>
      <w:r>
        <w:t xml:space="preserve">marktwirtschaftlichen Ordnung, der Förderung des Wettbewerbs, einer</w:t>
      </w:r>
    </w:p>
    <w:p>
      <w:r>
        <w:t xml:space="preserve">ausgewogenen Wirtschaftsstruktur des Landes und einer ausreichenden Versorgung</w:t>
      </w:r>
    </w:p>
    <w:p>
      <w:r>
        <w:t xml:space="preserve">der Bevölkerung mit Gütern und Dienstleistungen -</w:t>
      </w:r>
    </w:p>
    <w:p>
      <w:r>
        <w:t xml:space="preserve">die Gründung und Entwicklung der kleinen und mittleren Unternehmen zu</w:t>
      </w:r>
    </w:p>
    <w:p>
      <w:r>
        <w:t xml:space="preserve">fördern</w:t>
      </w:r>
    </w:p>
    <w:p>
      <w:r>
        <w:t xml:space="preserve">die Stellung bestehender Unternehmen zu sichern und auszubauen.</w:t>
      </w:r>
    </w:p>
    <w:p>
      <w:r>
        <w:t xml:space="preserve">(2) Für die Förderung der Freien Berufe sind die</w:t>
      </w:r>
    </w:p>
    <w:p>
      <w:r>
        <w:t xml:space="preserve">Bestimmungen dieses Gesetzes so anzuwenden, daß den Besonderheiten dieser</w:t>
      </w:r>
    </w:p>
    <w:p>
      <w:r>
        <w:t xml:space="preserve">Berufe Rechnung getragen werden kann.</w:t>
      </w:r>
    </w:p>
    <w:p>
      <w:r>
        <w:t xml:space="preserve">(3) Zur Erreichung dieses Zieles setzt das Land Brandenburg</w:t>
      </w:r>
    </w:p>
    <w:p>
      <w:r>
        <w:t xml:space="preserve">seine Einrichtungen zur Wirtschaftsförderung ein und stellt Mittel aus dem</w:t>
      </w:r>
    </w:p>
    <w:p>
      <w:r>
        <w:t xml:space="preserve">Landeshaushalt zur Verfügung.</w:t>
      </w:r>
    </w:p>
    <w:p>
      <w:r>
        <w:t xml:space="preserve">(4) Die Förderungsmaßnahmen sollen</w:t>
      </w:r>
    </w:p>
    <w:p>
      <w:r>
        <w:t xml:space="preserve">den Aufbau und die Verbesserung der regionalen und sektoralen</w:t>
      </w:r>
    </w:p>
    <w:p>
      <w:r>
        <w:t xml:space="preserve">Wirtschaftsstruktur fördern,</w:t>
      </w:r>
    </w:p>
    <w:p>
      <w:r>
        <w:t xml:space="preserve">zur Sicherung und Schaffung von Arbeits- und Ausbildungsplätzen in</w:t>
      </w:r>
    </w:p>
    <w:p>
      <w:r>
        <w:t xml:space="preserve">kleinen und mittleren Unternehmen dienen,</w:t>
      </w:r>
    </w:p>
    <w:p>
      <w:r>
        <w:t xml:space="preserve">zum Abbau von Wettbewerbsnachteilen beitragen,</w:t>
      </w:r>
    </w:p>
    <w:p>
      <w:r>
        <w:t xml:space="preserve">die rechtzeitige Anpassung an wirtschaftliche und</w:t>
      </w:r>
    </w:p>
    <w:p>
      <w:r>
        <w:t xml:space="preserve">technologische Veränderungen sowie an die ökologischen</w:t>
      </w:r>
    </w:p>
    <w:p>
      <w:r>
        <w:t xml:space="preserve">Rahmenbedingungen erleichtern.</w:t>
      </w:r>
    </w:p>
    <w:p>
      <w:r>
        <w:t xml:space="preserve">(5) Die Selbsthilfe geht der staatlichen Förderung vor.</w:t>
      </w:r>
    </w:p>
    <w:p>
      <w:r>
        <w:rPr>
          <w:color w:val="555555"/>
          <w:sz w:val="17"/>
        </w:rPr>
        <w:t xml:space="preserve">Zitiervorschlag: § 1 BbgMFG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https://recht.nulegal.eu/gesetze/BbgMFG/1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